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F45B1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ректора ОмГА от 29.03.2019 №54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F45B1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DC3644">
                    <w:rPr>
                      <w:sz w:val="24"/>
                      <w:szCs w:val="24"/>
                    </w:rPr>
                    <w:t>29.03.2019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B8551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B85512">
        <w:t xml:space="preserve"> </w:t>
      </w:r>
      <w:r w:rsidR="00B85512" w:rsidRPr="00B85512">
        <w:rPr>
          <w:rFonts w:eastAsia="Courier New"/>
          <w:b/>
          <w:sz w:val="24"/>
          <w:szCs w:val="24"/>
          <w:lang w:bidi="ru-RU"/>
        </w:rPr>
        <w:t>К.М.03.06(П)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5043" w:rsidRDefault="00DD5043" w:rsidP="00DD50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DD5043" w:rsidRDefault="00DD5043" w:rsidP="00DD50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2019/2020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32EFD">
        <w:rPr>
          <w:sz w:val="24"/>
          <w:szCs w:val="24"/>
        </w:rPr>
        <w:t>Омск 2019</w:t>
      </w:r>
    </w:p>
    <w:p w:rsidR="004C7E96" w:rsidRPr="00CB70C5" w:rsidRDefault="002F55E2" w:rsidP="004C7E9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4C7E96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C7E96" w:rsidRPr="00032EFD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4C7E96" w:rsidRPr="00032EFD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7E96" w:rsidRPr="00032EFD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4C7E96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7E96" w:rsidRPr="00032EFD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Протокол от 30 августа 2019 г.  № 1</w:t>
      </w:r>
    </w:p>
    <w:p w:rsidR="004C7E96" w:rsidRPr="00032EFD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7E96" w:rsidRPr="00032EFD" w:rsidRDefault="004C7E96" w:rsidP="004C7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4C7E9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обучения – очная на 2019/2020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утвержденным приказом ректора от 29.03.2019 № 54;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E06C2" w:rsidRPr="00CB70C5" w:rsidTr="00B855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1192">
              <w:rPr>
                <w:rStyle w:val="fontstyle01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</w:t>
            </w:r>
            <w:r w:rsidRPr="00B22CE7">
              <w:rPr>
                <w:iCs/>
                <w:sz w:val="24"/>
                <w:szCs w:val="24"/>
              </w:rPr>
              <w:lastRenderedPageBreak/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E413D">
              <w:rPr>
                <w:rStyle w:val="fontstyle01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 xml:space="preserve">владеть навыками использования функций и возможностей современных стационарных и мобильных цифровых устройств, использующихся на </w:t>
            </w:r>
            <w:r w:rsidRPr="003E0E28">
              <w:rPr>
                <w:iCs/>
                <w:sz w:val="24"/>
                <w:szCs w:val="24"/>
              </w:rPr>
              <w:lastRenderedPageBreak/>
              <w:t>всех этапах создания</w:t>
            </w:r>
          </w:p>
        </w:tc>
      </w:tr>
      <w:tr w:rsidR="00B85512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rStyle w:val="fontstyle01"/>
              </w:rPr>
              <w:lastRenderedPageBreak/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85512" w:rsidRPr="00B85512">
        <w:rPr>
          <w:rFonts w:eastAsia="Times New Roman"/>
          <w:color w:val="000000"/>
          <w:sz w:val="24"/>
          <w:szCs w:val="24"/>
        </w:rPr>
        <w:t>К.М.03.06(П)</w:t>
      </w:r>
      <w:r w:rsidR="00B85512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профессионально- творческая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УК-1; УК-3; ПК-1; ПК-2;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2916C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lastRenderedPageBreak/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B85512">
        <w:rPr>
          <w:rFonts w:eastAsia="Times New Roman"/>
          <w:sz w:val="24"/>
          <w:szCs w:val="24"/>
          <w:lang w:eastAsia="en-US"/>
        </w:rPr>
        <w:t>3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</w:t>
      </w:r>
      <w:r w:rsidR="00B85512">
        <w:rPr>
          <w:rFonts w:eastAsia="Times New Roman"/>
          <w:sz w:val="24"/>
          <w:szCs w:val="24"/>
          <w:lang w:eastAsia="en-US"/>
        </w:rPr>
        <w:t>е</w:t>
      </w:r>
      <w:r w:rsidRPr="00CB70C5">
        <w:rPr>
          <w:rFonts w:eastAsia="Times New Roman"/>
          <w:sz w:val="24"/>
          <w:szCs w:val="24"/>
          <w:lang w:eastAsia="en-US"/>
        </w:rPr>
        <w:t xml:space="preserve"> единиц</w:t>
      </w:r>
      <w:r w:rsidR="00B85512">
        <w:rPr>
          <w:rFonts w:eastAsia="Times New Roman"/>
          <w:sz w:val="24"/>
          <w:szCs w:val="24"/>
          <w:lang w:eastAsia="en-US"/>
        </w:rPr>
        <w:t>ы</w:t>
      </w:r>
      <w:r w:rsidRPr="00CB70C5"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108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2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B85512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2916C7" w:rsidRPr="009B358A" w:rsidRDefault="002916C7" w:rsidP="002916C7">
            <w:pPr>
              <w:rPr>
                <w:b/>
                <w:sz w:val="24"/>
                <w:szCs w:val="24"/>
              </w:rPr>
            </w:pPr>
            <w:r w:rsidRPr="009B358A">
              <w:rPr>
                <w:sz w:val="24"/>
                <w:szCs w:val="24"/>
              </w:rPr>
              <w:t>Подготовить краткую характеристику предприятия, структурных подразделений. Собрать информацию о прошлой и текущей деятельности организации. Освоить юридически-правовую базу компании. Проанализировать уровень и состояние используемых в организации коммуникационных технологий.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03B15">
              <w:rPr>
                <w:rFonts w:eastAsia="Times New Roman"/>
                <w:sz w:val="24"/>
                <w:szCs w:val="24"/>
              </w:rPr>
              <w:t xml:space="preserve">Разработать концепцию, план (программу) рекламной кампании (мероприятия). ( Описать концепцию и план кампании (мероприятия), разработать медиаплан и бюджет мероприятия). 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>2. Разработать рекламный или PR-продукт в соответствии с задачами организации (подготовка 1-2 текстов, выполненных в разных жанрах PR; текста для рекламного модуля, текста для стимулирующей рекламы, буклет, листовка, флаер, рекламный модуль, макет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 xml:space="preserve">3. </w:t>
            </w:r>
            <w:r w:rsidRPr="00203B15">
              <w:rPr>
                <w:sz w:val="24"/>
                <w:szCs w:val="24"/>
              </w:rPr>
              <w:t>Оценить эффективность рекламной кампании (мероприятия). (В качестве оценки эффективности рекламной кампании (мероприятия) могут выступить информационно-психологическая и экономическая эффективность. Методами оценки могут стать количественные (опросы и т.д.) и качественные методы (фокус-группа, интервью и тд.), а также кабинетные методы анализа: информационный аудит, контент-анализ).</w:t>
            </w:r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F45B1B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lastRenderedPageBreak/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F45B1B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F45B1B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 xml:space="preserve"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электронный // ЭБС Юрайт [сайт]. — URL: </w:t>
      </w:r>
      <w:hyperlink r:id="rId11" w:history="1">
        <w:r w:rsidR="00F45B1B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2" w:history="1">
        <w:r w:rsidR="00F45B1B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 xml:space="preserve">История связей с общественностью : учебное пособие для академического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F45B1B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0C6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CB70C5">
        <w:rPr>
          <w:sz w:val="24"/>
          <w:szCs w:val="24"/>
        </w:rPr>
        <w:lastRenderedPageBreak/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F45B1B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F45B1B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F45B1B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F45B1B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F45B1B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F45B1B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F45B1B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F45B1B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F45B1B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F45B1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</w:t>
      </w:r>
      <w:r w:rsidRPr="00CB70C5">
        <w:rPr>
          <w:sz w:val="24"/>
          <w:szCs w:val="24"/>
        </w:rPr>
        <w:lastRenderedPageBreak/>
        <w:t>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F45B1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524" w:rsidRDefault="00734524" w:rsidP="00160BC1">
      <w:r>
        <w:separator/>
      </w:r>
    </w:p>
  </w:endnote>
  <w:endnote w:type="continuationSeparator" w:id="0">
    <w:p w:rsidR="00734524" w:rsidRDefault="0073452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524" w:rsidRDefault="00734524" w:rsidP="00160BC1">
      <w:r>
        <w:separator/>
      </w:r>
    </w:p>
  </w:footnote>
  <w:footnote w:type="continuationSeparator" w:id="0">
    <w:p w:rsidR="00734524" w:rsidRDefault="0073452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21B2"/>
    <w:rsid w:val="00261D10"/>
    <w:rsid w:val="002657BC"/>
    <w:rsid w:val="00271695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C7E96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B105F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34524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0C62"/>
    <w:rsid w:val="007B1963"/>
    <w:rsid w:val="007B2354"/>
    <w:rsid w:val="007B2F12"/>
    <w:rsid w:val="007B5C57"/>
    <w:rsid w:val="007C277B"/>
    <w:rsid w:val="007D5CC1"/>
    <w:rsid w:val="007D6CDC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5043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5B1B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9193075-7E2A-4B31-8CCE-60A1A01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7B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11283</Words>
  <Characters>64315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75448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2022-11-12T16:50:00Z</dcterms:modified>
</cp:coreProperties>
</file>